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B0" w:rsidRPr="00D03FB0" w:rsidRDefault="00D03FB0" w:rsidP="00D03FB0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F3F3F"/>
          <w:kern w:val="36"/>
          <w:sz w:val="36"/>
          <w:szCs w:val="36"/>
          <w:lang w:eastAsia="ru-RU"/>
        </w:rPr>
      </w:pPr>
      <w:bookmarkStart w:id="0" w:name="_GoBack"/>
      <w:r w:rsidRPr="00D03FB0">
        <w:rPr>
          <w:rFonts w:ascii="Arial" w:eastAsia="Times New Roman" w:hAnsi="Arial" w:cs="Arial"/>
          <w:color w:val="3F3F3F"/>
          <w:kern w:val="36"/>
          <w:sz w:val="36"/>
          <w:szCs w:val="36"/>
          <w:lang w:eastAsia="ru-RU"/>
        </w:rPr>
        <w:t>Методические рекомендации Министерства просвещения Российской Федерации</w:t>
      </w:r>
    </w:p>
    <w:bookmarkEnd w:id="0"/>
    <w:p w:rsidR="00D03FB0" w:rsidRPr="00D03FB0" w:rsidRDefault="00D03FB0" w:rsidP="00D03F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по реализации образовательных программ начального общего,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 Настоящие Методические рекомендации разработаны в соответствии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Федеральным законом от 29 декабря 2012 г. № 273-ФЗ «Об образовании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в Российской Федерации» (Собрание законодательства Российской Федерации, 2012, № 53, ст. 7598; 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2020, № 9, ст. 1137), </w:t>
      </w:r>
      <w:r w:rsidRPr="00D03FB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 также Порядком применения организациями, осуществляющими 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 в целях оказания 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методической помощи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при реализации образовательных программ начального общего, основного общего, среднего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 В настоящих Методических рекомендациях 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приведены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особенности реализации учебной и производственной практик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при реализации программ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 Примерная модель реализации образовательных программ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начального общего, основного общего, среднего общего образования,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технологий: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 разрабатывает и утверждает локальный акт (приказ, положение)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3.2. формирует расписание занятий на каждый учебный день в соответствии с учебным планом по каждой дисциплине, предусматривая дифференциацию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по классам и сокращение времени проведения урока до 30 минут;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  информирует обучающихся и их родителей о реализации образовательных программ или их частей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и дистанционных образовательных технологий (далее – дистанционное обучение), в том числе 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я(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ей) (законного представителя).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 образовательной организации рекомендуется обеспечить внесение соответствующих корректировок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в рабочие программы и (или) учебные планы в части форм обучения (лекция, онлайн консультация), технических средств обучения.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 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вебинаров</w:t>
      </w:r>
      <w:proofErr w:type="spell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Скайп</w:t>
      </w:r>
      <w:proofErr w:type="spell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планировать свою педагогическую деятельность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учетом системы дистанционного обучения, создавать простейшие, нужные для обучающихся, ресурсы и задания;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8. 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по болезни временно не участвует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образовательном процессе (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заболевшие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обучающиеся).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 Рекомендации по реализации программ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 При реализации программ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их виртуальных аналогов, позволяющих обучающимся осваивать общие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профессиональные компетенции.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 При реализации программ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 При реализации программ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педагогическим работникам рекомендуется своевременно отвечать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 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 В случае временного перевода всех обучающихся на обучение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электронных учебных изданий по дисциплинам (модулям) образовательным организациям рекомендуется обеспечить возможность доступа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к ресурсам электронно-библиотечной системы (электронной библиотеке)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для каждого обучающегося.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период временного перевода на 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 программам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 Образовательная организация самостоятельно определяет требования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к процедуре проведения промежуточной и государственной итоговой аттестации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 Для поддержки технологии дистанционного и смешанного обучения,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центров опережающей профессиональной подготовки расположен по ссылке: </w:t>
      </w:r>
      <w:hyperlink r:id="rId5" w:history="1">
        <w:r w:rsidRPr="00D03FB0">
          <w:rPr>
            <w:rFonts w:ascii="inherit" w:eastAsia="Times New Roman" w:hAnsi="inherit" w:cs="Arial"/>
            <w:color w:val="35579A"/>
            <w:sz w:val="23"/>
            <w:szCs w:val="23"/>
            <w:bdr w:val="none" w:sz="0" w:space="0" w:color="auto" w:frame="1"/>
            <w:lang w:eastAsia="ru-RU"/>
          </w:rPr>
          <w:t>http://profedutop50.ru/copp</w:t>
        </w:r>
      </w:hyperlink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16. 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зависящим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от работодателя и работника, либо перевода 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обучение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по индивидуальным учебным планам.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Примерная модель реализации образовательных программ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среднего профессионального образования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 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технологий: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 в связи с особыми обстоятельствами;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актуализирует имеющиеся в электронном виде методические материалы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по размещению учебных материалов,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промежуточной аттестации и фиксацию хода образовательного процесса.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18. 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инструкцию для обучающихся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педагогических работников о том, как получить или восстановить логин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пароль (в случае использования личных кабинетов), а также инструкции по организации работы в «виртуальных» и «совместных» группах.</w:t>
      </w:r>
      <w:proofErr w:type="gramEnd"/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19. 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самостоятельно отбирает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рекомендует для проведения </w:t>
      </w:r>
      <w:proofErr w:type="spell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вебинаров</w:t>
      </w:r>
      <w:proofErr w:type="spell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 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с применением электронного обучения и дистанционных образовательных технологий определяет какие учебные 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дисциплины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21. 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определенное время.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 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23. 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24. </w:t>
      </w: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 образовательных необходимо обеспечивать постоянную дистанционную связь с обучающимися,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 также проводить мониторинг фактического взаимодействия педагогических работников и обучающихся, включая элементы текущего контроля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промежуточной аттестации.</w:t>
      </w:r>
      <w:proofErr w:type="gramEnd"/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Особенности реализации учебной и производственной практик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при реализации программ среднего профессионального образования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с применением электронного обучения и дистанционных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образовательных технологий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 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 дистанционных образовательных технологий.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D03FB0" w:rsidRPr="00D03FB0" w:rsidRDefault="00D03FB0" w:rsidP="00D03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 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D03FB0" w:rsidRPr="00D03FB0" w:rsidRDefault="00D03FB0" w:rsidP="00D03FB0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D03FB0" w:rsidRPr="00D03FB0" w:rsidRDefault="00D03FB0" w:rsidP="00D03F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Пример организации урока в режиме видеоконференцсвязи</w:t>
      </w: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с использованием платформы </w:t>
      </w:r>
      <w:proofErr w:type="spellStart"/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Скайп</w:t>
      </w:r>
      <w:proofErr w:type="spellEnd"/>
    </w:p>
    <w:p w:rsidR="00D03FB0" w:rsidRPr="00D03FB0" w:rsidRDefault="00D03FB0" w:rsidP="00D03F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1.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Зайти по ссылке </w:t>
      </w:r>
      <w:hyperlink r:id="rId6" w:history="1">
        <w:r w:rsidRPr="00D03FB0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https://www.skype.com/ru/free-conference-call/</w:t>
        </w:r>
      </w:hyperlink>
    </w:p>
    <w:p w:rsidR="00D03FB0" w:rsidRPr="00D03FB0" w:rsidRDefault="00D03FB0" w:rsidP="00D03F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2.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Создать бесплатную уникальную ссылку нажимаем на кнопку «</w:t>
      </w:r>
      <w:r w:rsidRPr="00D03FB0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Создать бесплатное собрание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» (рисунок 1):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 </w:t>
      </w:r>
      <w:r w:rsidRPr="00D03FB0"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6DBA22" wp14:editId="5B8A652B">
            <wp:extent cx="11630025" cy="7258050"/>
            <wp:effectExtent l="0" t="0" r="9525" b="0"/>
            <wp:docPr id="1" name="Рисунок 1" descr="http://xn--c1aca0dzc.xn--p1ai/wp-content/uploads/2020/04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c1aca0dzc.xn--p1ai/wp-content/uploads/2020/04/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B0" w:rsidRPr="00D03FB0" w:rsidRDefault="00D03FB0" w:rsidP="00D03FB0">
      <w:pPr>
        <w:shd w:val="clear" w:color="auto" w:fill="FFFFFF"/>
        <w:spacing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Рисунок 1.</w:t>
      </w:r>
    </w:p>
    <w:p w:rsidR="00D03FB0" w:rsidRPr="00D03FB0" w:rsidRDefault="00D03FB0" w:rsidP="00D03F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3.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Скопировать ссылку на собрание и отправьте ее участникам. Затем нажмите на кнопку «</w:t>
      </w:r>
      <w:r w:rsidRPr="00D03FB0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Позвонить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» (рисунок 2):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 </w:t>
      </w:r>
      <w:r w:rsidRPr="00D03FB0"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581303" wp14:editId="38DE459D">
            <wp:extent cx="8553450" cy="6143625"/>
            <wp:effectExtent l="0" t="0" r="0" b="9525"/>
            <wp:docPr id="2" name="Рисунок 2" descr="http://xn--c1aca0dzc.xn--p1ai/wp-content/uploads/2020/04/image2-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c1aca0dzc.xn--p1ai/wp-content/uploads/2020/04/image2-93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B0" w:rsidRPr="00D03FB0" w:rsidRDefault="00D03FB0" w:rsidP="00D03FB0">
      <w:pPr>
        <w:shd w:val="clear" w:color="auto" w:fill="FFFFFF"/>
        <w:spacing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Рисунок 2.</w:t>
      </w:r>
    </w:p>
    <w:p w:rsidR="00D03FB0" w:rsidRPr="00D03FB0" w:rsidRDefault="00D03FB0" w:rsidP="00D03F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4.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Нажмите кнопку «</w:t>
      </w:r>
      <w:r w:rsidRPr="00D03FB0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Присоединиться как гость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» (рисунок 3):</w:t>
      </w:r>
    </w:p>
    <w:p w:rsidR="00D03FB0" w:rsidRPr="00D03FB0" w:rsidRDefault="00D03FB0" w:rsidP="00D03F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 </w:t>
      </w:r>
      <w:r w:rsidRPr="00D03FB0"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21649D" wp14:editId="161DA6F1">
            <wp:extent cx="8677275" cy="5295900"/>
            <wp:effectExtent l="0" t="0" r="9525" b="0"/>
            <wp:docPr id="3" name="Рисунок 3" descr="http://xn--c1aca0dzc.xn--p1ai/wp-content/uploads/2020/04/image3-139t4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c1aca0dzc.xn--p1ai/wp-content/uploads/2020/04/image3-139t47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B0" w:rsidRPr="00D03FB0" w:rsidRDefault="00D03FB0" w:rsidP="00D03FB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Рисунок 3.</w:t>
      </w:r>
    </w:p>
    <w:p w:rsidR="00D03FB0" w:rsidRPr="00D03FB0" w:rsidRDefault="00D03FB0" w:rsidP="00D03F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5.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Ввести свое имя и нажать на кнопку «</w:t>
      </w:r>
      <w:r w:rsidRPr="00D03FB0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Присоединиться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» (рисунок 4):</w:t>
      </w:r>
    </w:p>
    <w:p w:rsidR="00D03FB0" w:rsidRPr="00D03FB0" w:rsidRDefault="00D03FB0" w:rsidP="00D03FB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 </w:t>
      </w:r>
      <w:r w:rsidRPr="00D03FB0"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9A1F1B" wp14:editId="55A80116">
            <wp:extent cx="5676900" cy="4514850"/>
            <wp:effectExtent l="0" t="0" r="0" b="0"/>
            <wp:docPr id="4" name="Рисунок 4" descr="http://xn--c1aca0dzc.xn--p1ai/wp-content/uploads/2020/04/image4-70l33t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c1aca0dzc.xn--p1ai/wp-content/uploads/2020/04/image4-70l33t27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B0" w:rsidRPr="00D03FB0" w:rsidRDefault="00D03FB0" w:rsidP="00D03FB0">
      <w:pPr>
        <w:shd w:val="clear" w:color="auto" w:fill="FFFFFF"/>
        <w:spacing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Рисунок 4.</w:t>
      </w:r>
    </w:p>
    <w:p w:rsidR="00D03FB0" w:rsidRPr="00D03FB0" w:rsidRDefault="00D03FB0" w:rsidP="00D03F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03F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6.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Нажать на кнопку «</w:t>
      </w:r>
      <w:r w:rsidRPr="00D03FB0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Позвонить</w:t>
      </w:r>
      <w:r w:rsidRPr="00D03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» и начать занятие (рисунок 5).</w:t>
      </w:r>
    </w:p>
    <w:p w:rsidR="00EE0A95" w:rsidRDefault="00EE0A95"/>
    <w:sectPr w:rsidR="00EE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67"/>
    <w:rsid w:val="00606C67"/>
    <w:rsid w:val="00D03FB0"/>
    <w:rsid w:val="00E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fedutop50.ru/cop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2489</Words>
  <Characters>14192</Characters>
  <Application>Microsoft Office Word</Application>
  <DocSecurity>0</DocSecurity>
  <Lines>118</Lines>
  <Paragraphs>33</Paragraphs>
  <ScaleCrop>false</ScaleCrop>
  <Company>*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2020-09-04T08:03:00Z</dcterms:created>
  <dcterms:modified xsi:type="dcterms:W3CDTF">2020-09-04T08:05:00Z</dcterms:modified>
</cp:coreProperties>
</file>